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Liberation Serif" w:hAnsi="Liberation Serif"/>
          <w:b/>
          <w:sz w:val="54"/>
        </w:rPr>
        <w:t>MORGAN VALE</w:t>
      </w:r>
    </w:p>
    <w:p>
      <w:pPr>
        <w:keepNext w:val="0"/>
        <w:spacing w:before="0" w:after="100"/>
      </w:pPr>
      <w:r>
        <w:rPr>
          <w:rFonts w:ascii="Liberation Sans" w:hAnsi="Liberation Sans"/>
          <w:b/>
          <w:color w:val="4D5961"/>
          <w:sz w:val="22"/>
        </w:rPr>
        <w:t>OPERATIONS EXECUTIVE</w:t>
      </w:r>
    </w:p>
    <w:p>
      <w:pPr>
        <w:keepNext w:val="0"/>
        <w:spacing w:before="0" w:after="180"/>
      </w:pPr>
      <w:r>
        <w:rPr>
          <w:rFonts w:ascii="Liberation Sans" w:hAnsi="Liberation Sans"/>
          <w:b w:val="0"/>
          <w:sz w:val="18"/>
        </w:rPr>
        <w:t>Atlanta, GA  |  morgan.vale@example.com  |  (202) 555-0142  |  example.com/morganvale</w:t>
      </w:r>
    </w:p>
    <w:p>
      <w:pPr>
        <w:keepNext w:val="0"/>
        <w:spacing w:before="0" w:after="80"/>
      </w:pPr>
      <w:r>
        <w:rPr>
          <w:b w:val="0"/>
          <w:sz w:val="21"/>
        </w:rPr>
        <w:t>Operations executive with 18 years across field service and B2B distribution. Builds repeatable operating systems, develops regional leaders and connects service quality to commercial performance. Experienced in multi-site integration, capacity planning and board reporting.</w:t>
      </w:r>
    </w:p>
    <w:p>
      <w:pPr>
        <w:keepNext/>
        <w:spacing w:before="200" w:after="140"/>
        <w:pBdr>
          <w:bottom w:val="single" w:sz="4" w:space="4" w:color="73818A"/>
        </w:pBdr>
      </w:pPr>
      <w:r>
        <w:rPr>
          <w:rFonts w:ascii="Liberation Sans" w:hAnsi="Liberation Sans"/>
          <w:b/>
          <w:color w:val="000000"/>
          <w:sz w:val="20"/>
        </w:rPr>
        <w:t>LEADERSHIP EXPERIENCE</w:t>
      </w:r>
    </w:p>
    <w:tbl>
      <w:tblPr>
        <w:tblW w:type="dxa" w:w="10454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584"/>
        <w:gridCol w:w="8870"/>
      </w:tblGrid>
      <w:tr>
        <w:tc>
          <w:tcPr>
            <w:tcW w:type="dxa" w:w="1584"/>
            <w:vAlign w:val="top"/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spacing w:before="0" w:after="40"/>
            </w:pPr>
            <w:r>
              <w:rPr>
                <w:rFonts w:ascii="Liberation Sans" w:hAnsi="Liberation Sans"/>
                <w:b/>
                <w:color w:val="4D5961"/>
                <w:sz w:val="17"/>
              </w:rPr>
              <w:t>2020–PRESENT</w:t>
            </w:r>
          </w:p>
        </w:tc>
        <w:tc>
          <w:tcPr>
            <w:tcW w:type="dxa" w:w="8870"/>
            <w:vAlign w:val="top"/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/>
              <w:spacing w:before="0" w:after="20"/>
            </w:pPr>
            <w:r>
              <w:rPr>
                <w:b/>
                <w:sz w:val="21"/>
              </w:rPr>
              <w:t>NORTHBRIDGE SERVICE GROUP</w:t>
            </w:r>
          </w:p>
          <w:p>
            <w:pPr>
              <w:keepNext/>
              <w:spacing w:before="0" w:after="40"/>
            </w:pPr>
            <w:r>
              <w:rPr>
                <w:b/>
                <w:sz w:val="22"/>
              </w:rPr>
              <w:t>Vice President of Operations</w:t>
            </w:r>
          </w:p>
          <w:p>
            <w:pPr>
              <w:keepNext/>
              <w:spacing w:before="0" w:after="100"/>
            </w:pPr>
            <w:r>
              <w:rPr>
                <w:b w:val="0"/>
                <w:color w:val="4D5961"/>
                <w:sz w:val="18"/>
              </w:rPr>
              <w:t>Atlanta, GA | 14 branches | 320 employees | $86M business</w:t>
            </w:r>
          </w:p>
          <w:p>
            <w:pPr>
              <w:keepNext w:val="0"/>
              <w:spacing w:before="0" w:after="80"/>
              <w:ind w:left="173" w:hanging="173"/>
            </w:pPr>
            <w:r>
              <w:rPr>
                <w:b w:val="0"/>
                <w:sz w:val="21"/>
              </w:rPr>
              <w:t>•  Led branch operations, service delivery and fleet planning across three regions; managed six regional and functional leaders.</w:t>
            </w:r>
          </w:p>
          <w:p>
            <w:pPr>
              <w:keepNext w:val="0"/>
              <w:spacing w:before="0" w:after="80"/>
              <w:ind w:left="173" w:hanging="173"/>
            </w:pPr>
            <w:r>
              <w:rPr>
                <w:b w:val="0"/>
                <w:sz w:val="21"/>
              </w:rPr>
              <w:t>•  Introduced weekly capacity planning and branch scorecards, increasing on-time service from 87% to 95% over two years.</w:t>
            </w:r>
          </w:p>
          <w:p>
            <w:pPr>
              <w:keepNext w:val="0"/>
              <w:spacing w:before="0" w:after="80"/>
              <w:ind w:left="173" w:hanging="173"/>
            </w:pPr>
            <w:r>
              <w:rPr>
                <w:b w:val="0"/>
                <w:sz w:val="21"/>
              </w:rPr>
              <w:t>•  Integrated four acquired branches into a shared dispatch, safety and reporting model while retaining local customer teams.</w:t>
            </w:r>
          </w:p>
          <w:p>
            <w:pPr>
              <w:keepNext w:val="0"/>
              <w:spacing w:before="0" w:after="80"/>
              <w:ind w:left="173" w:hanging="173"/>
            </w:pPr>
            <w:r>
              <w:rPr>
                <w:b w:val="0"/>
                <w:sz w:val="21"/>
              </w:rPr>
              <w:t>•  Redesigned scheduling and vendor agreements, lowering operating cost by $2.4M annually without reducing field coverage.</w:t>
            </w:r>
          </w:p>
        </w:tc>
      </w:tr>
    </w:tbl>
    <w:p>
      <w:pPr>
        <w:keepNext w:val="0"/>
        <w:spacing w:before="0" w:after="20"/>
      </w:pPr>
      <w:r>
        <w:rPr>
          <w:b w:val="0"/>
          <w:sz w:val="4"/>
        </w:rPr>
      </w:r>
    </w:p>
    <w:tbl>
      <w:tblPr>
        <w:tblW w:type="dxa" w:w="10454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584"/>
        <w:gridCol w:w="8870"/>
      </w:tblGrid>
      <w:tr>
        <w:tc>
          <w:tcPr>
            <w:tcW w:type="dxa" w:w="1584"/>
            <w:vAlign w:val="top"/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spacing w:before="0" w:after="40"/>
            </w:pPr>
            <w:r>
              <w:rPr>
                <w:rFonts w:ascii="Liberation Sans" w:hAnsi="Liberation Sans"/>
                <w:b/>
                <w:color w:val="4D5961"/>
                <w:sz w:val="17"/>
              </w:rPr>
              <w:t>2015–2020</w:t>
            </w:r>
          </w:p>
        </w:tc>
        <w:tc>
          <w:tcPr>
            <w:tcW w:type="dxa" w:w="8870"/>
            <w:vAlign w:val="top"/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/>
              <w:spacing w:before="0" w:after="20"/>
            </w:pPr>
            <w:r>
              <w:rPr>
                <w:b/>
                <w:sz w:val="21"/>
              </w:rPr>
              <w:t>MERIDIAN INDUSTRIAL SUPPLY</w:t>
            </w:r>
          </w:p>
          <w:p>
            <w:pPr>
              <w:keepNext/>
              <w:spacing w:before="0" w:after="40"/>
            </w:pPr>
            <w:r>
              <w:rPr>
                <w:b/>
                <w:sz w:val="22"/>
              </w:rPr>
              <w:t>Director of Regional Operations</w:t>
            </w:r>
          </w:p>
          <w:p>
            <w:pPr>
              <w:keepNext/>
              <w:spacing w:before="0" w:after="100"/>
            </w:pPr>
            <w:r>
              <w:rPr>
                <w:b w:val="0"/>
                <w:color w:val="4D5961"/>
                <w:sz w:val="18"/>
              </w:rPr>
              <w:t>Charlotte, NC | 8 locations | 165 employees</w:t>
            </w:r>
          </w:p>
          <w:p>
            <w:pPr>
              <w:keepNext w:val="0"/>
              <w:spacing w:before="0" w:after="80"/>
              <w:ind w:left="173" w:hanging="173"/>
            </w:pPr>
            <w:r>
              <w:rPr>
                <w:b w:val="0"/>
                <w:sz w:val="21"/>
              </w:rPr>
              <w:t>•  Owned regional service, inventory and distribution performance for an industrial-products business serving 1,800 accounts.</w:t>
            </w:r>
          </w:p>
          <w:p>
            <w:pPr>
              <w:keepNext w:val="0"/>
              <w:spacing w:before="0" w:after="80"/>
              <w:ind w:left="173" w:hanging="173"/>
            </w:pPr>
            <w:r>
              <w:rPr>
                <w:b w:val="0"/>
                <w:sz w:val="21"/>
              </w:rPr>
              <w:t>•  Consolidated replenishment planning and cycle counts; improved order fill rate from 91% to 97% and released $1.2M in inventory.</w:t>
            </w:r>
          </w:p>
          <w:p>
            <w:pPr>
              <w:keepNext w:val="0"/>
              <w:spacing w:before="0" w:after="80"/>
              <w:ind w:left="173" w:hanging="173"/>
            </w:pPr>
            <w:r>
              <w:rPr>
                <w:b w:val="0"/>
                <w:sz w:val="21"/>
              </w:rPr>
              <w:t>•  Built a frontline-manager development program; five supervisors advanced to site or regional leadership roles.</w:t>
            </w:r>
          </w:p>
        </w:tc>
      </w:tr>
    </w:tbl>
    <w:p>
      <w:pPr>
        <w:keepNext w:val="0"/>
        <w:spacing w:before="0" w:after="20"/>
      </w:pPr>
      <w:r>
        <w:rPr>
          <w:b w:val="0"/>
          <w:sz w:val="4"/>
        </w:rPr>
      </w:r>
    </w:p>
    <w:tbl>
      <w:tblPr>
        <w:tblW w:type="dxa" w:w="10454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584"/>
        <w:gridCol w:w="8870"/>
      </w:tblGrid>
      <w:tr>
        <w:tc>
          <w:tcPr>
            <w:tcW w:type="dxa" w:w="1584"/>
            <w:vAlign w:val="top"/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spacing w:before="0" w:after="40"/>
            </w:pPr>
            <w:r>
              <w:rPr>
                <w:rFonts w:ascii="Liberation Sans" w:hAnsi="Liberation Sans"/>
                <w:b/>
                <w:color w:val="4D5961"/>
                <w:sz w:val="17"/>
              </w:rPr>
              <w:t>2008–2015</w:t>
            </w:r>
          </w:p>
        </w:tc>
        <w:tc>
          <w:tcPr>
            <w:tcW w:type="dxa" w:w="8870"/>
            <w:vAlign w:val="top"/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/>
              <w:spacing w:before="0" w:after="20"/>
            </w:pPr>
            <w:r>
              <w:rPr>
                <w:b/>
                <w:sz w:val="21"/>
              </w:rPr>
              <w:t>CEDARLINE LOGISTICS</w:t>
            </w:r>
          </w:p>
          <w:p>
            <w:pPr>
              <w:keepNext/>
              <w:spacing w:before="0" w:after="40"/>
            </w:pPr>
            <w:r>
              <w:rPr>
                <w:b/>
                <w:sz w:val="22"/>
              </w:rPr>
              <w:t>Operations Manager</w:t>
            </w:r>
          </w:p>
          <w:p>
            <w:pPr>
              <w:keepNext/>
              <w:spacing w:before="0" w:after="100"/>
            </w:pPr>
            <w:r>
              <w:rPr>
                <w:b w:val="0"/>
                <w:color w:val="4D5961"/>
                <w:sz w:val="18"/>
              </w:rPr>
              <w:t>Greenville, SC | Progressed from Operations Analyst</w:t>
            </w:r>
          </w:p>
          <w:p>
            <w:pPr>
              <w:keepNext w:val="0"/>
              <w:spacing w:before="0" w:after="80"/>
              <w:ind w:left="173" w:hanging="173"/>
            </w:pPr>
            <w:r>
              <w:rPr>
                <w:b w:val="0"/>
                <w:sz w:val="21"/>
              </w:rPr>
              <w:t>•  Managed a 72-person distribution and customer-service operation, including labor planning, quality reviews and peak-season staffing.</w:t>
            </w:r>
          </w:p>
          <w:p>
            <w:pPr>
              <w:keepNext w:val="0"/>
              <w:spacing w:before="0" w:after="80"/>
              <w:ind w:left="173" w:hanging="173"/>
            </w:pPr>
            <w:r>
              <w:rPr>
                <w:b w:val="0"/>
                <w:sz w:val="21"/>
              </w:rPr>
              <w:t>•  Implemented daily shift handoffs and exception tracking that reduced aged customer issues by 34% in the first year.</w:t>
            </w:r>
          </w:p>
        </w:tc>
      </w:tr>
    </w:tbl>
    <w:p>
      <w:pPr>
        <w:keepNext w:val="0"/>
        <w:spacing w:before="0" w:after="20"/>
      </w:pPr>
      <w:r>
        <w:rPr>
          <w:b w:val="0"/>
          <w:sz w:val="4"/>
        </w:rPr>
      </w:r>
    </w:p>
    <w:p>
      <w:pPr>
        <w:keepNext/>
        <w:spacing w:before="120" w:after="140"/>
        <w:pBdr>
          <w:bottom w:val="single" w:sz="4" w:space="4" w:color="73818A"/>
        </w:pBdr>
      </w:pPr>
      <w:r>
        <w:rPr>
          <w:rFonts w:ascii="Liberation Sans" w:hAnsi="Liberation Sans"/>
          <w:b/>
          <w:color w:val="000000"/>
          <w:sz w:val="20"/>
        </w:rPr>
        <w:t>EDUCATION AND PROFESSIONAL DEVELOPMENT</w:t>
      </w:r>
    </w:p>
    <w:p>
      <w:pPr>
        <w:keepNext w:val="0"/>
        <w:spacing w:before="0" w:after="60"/>
      </w:pPr>
      <w:r>
        <w:rPr>
          <w:b w:val="0"/>
          <w:sz w:val="21"/>
        </w:rPr>
        <w:t>MBA, Operations Management  |  Lakeview School of Business  |  2014</w:t>
      </w:r>
    </w:p>
    <w:p>
      <w:pPr>
        <w:keepNext w:val="0"/>
        <w:spacing w:before="0" w:after="60"/>
      </w:pPr>
      <w:r>
        <w:rPr>
          <w:b w:val="0"/>
          <w:sz w:val="21"/>
        </w:rPr>
        <w:t>BS, Business Administration  |  Westhaven College  |  2008</w:t>
      </w:r>
    </w:p>
    <w:p>
      <w:pPr>
        <w:keepNext w:val="0"/>
        <w:spacing w:before="0" w:after="20"/>
      </w:pPr>
      <w:r>
        <w:rPr>
          <w:b w:val="0"/>
          <w:sz w:val="20"/>
        </w:rPr>
        <w:t>Lean Six Sigma Green Belt  |  Supply-chain planning and integration leadership</w:t>
      </w:r>
    </w:p>
    <w:p>
      <w:pPr>
        <w:keepNext/>
        <w:spacing w:before="160" w:after="140"/>
        <w:pBdr>
          <w:bottom w:val="single" w:sz="4" w:space="4" w:color="73818A"/>
        </w:pBdr>
      </w:pPr>
      <w:r>
        <w:rPr>
          <w:rFonts w:ascii="Liberation Sans" w:hAnsi="Liberation Sans"/>
          <w:b/>
          <w:color w:val="000000"/>
          <w:sz w:val="20"/>
        </w:rPr>
        <w:t>LEADERSHIP FOCUS</w:t>
      </w:r>
    </w:p>
    <w:p>
      <w:pPr>
        <w:keepNext w:val="0"/>
        <w:spacing w:before="0" w:after="0"/>
      </w:pPr>
      <w:r>
        <w:rPr>
          <w:b w:val="0"/>
          <w:sz w:val="20"/>
        </w:rPr>
        <w:t>Multi-site operations  •  Post-acquisition integration  •  Service delivery  •  P&amp;L management</w:t>
        <w:br/>
        <w:t>Workforce planning  •  Inventory strategy  •  Leadership development  •  Board reporting</w:t>
      </w:r>
    </w:p>
    <w:sectPr w:rsidR="00FC693F" w:rsidRPr="0006063C" w:rsidSect="00034616">
      <w:footerReference w:type="default" r:id="rId9"/>
      <w:pgSz w:w="12240" w:h="15840"/>
      <w:pgMar w:top="792" w:right="893" w:bottom="792" w:left="893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626B73"/>
        <w:sz w:val="14"/>
      </w:rPr>
      <w:t>FICTIONAL EXAMPLE  •  All people, organizations and results are invented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0" w:lineRule="auto"/>
    </w:pPr>
    <w:rPr>
      <w:rFonts w:ascii="Liberation Serif" w:hAnsi="Liberation Serif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 w:line="250" w:lineRule="auto"/>
      <w:outlineLvl w:val="0"/>
    </w:pPr>
    <w:rPr>
      <w:rFonts w:asciiTheme="majorHAnsi" w:eastAsiaTheme="majorEastAsia" w:hAnsiTheme="majorHAnsi" w:cstheme="majorBidi" w:ascii="Liberation Serif" w:hAnsi="Liberation Serif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 w:line="250" w:lineRule="auto"/>
      <w:outlineLvl w:val="1"/>
    </w:pPr>
    <w:rPr>
      <w:rFonts w:asciiTheme="majorHAnsi" w:eastAsiaTheme="majorEastAsia" w:hAnsiTheme="majorHAnsi" w:cstheme="majorBidi" w:ascii="Liberation Serif" w:hAnsi="Liberation Serif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 w:line="250" w:lineRule="auto"/>
      <w:outlineLvl w:val="2"/>
    </w:pPr>
    <w:rPr>
      <w:rFonts w:asciiTheme="majorHAnsi" w:eastAsiaTheme="majorEastAsia" w:hAnsiTheme="majorHAnsi" w:cstheme="majorBidi" w:ascii="Liberation Serif" w:hAnsi="Liberation Serif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50" w:lineRule="auto"/>
      <w:contextualSpacing/>
    </w:pPr>
    <w:rPr>
      <w:rFonts w:asciiTheme="majorHAnsi" w:eastAsiaTheme="majorEastAsia" w:hAnsiTheme="majorHAnsi" w:cstheme="majorBidi" w:ascii="Liberation Serif" w:hAnsi="Liberation Serif"/>
      <w:color w:val="000000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Fictional executive resume example for individual template approval</dc:subject>
  <dc:creator>OptimizeResume</dc:creator>
  <cp:keywords>original design, fictional example, review</cp:keywords>
  <dc:description>generated by python-docx</dc:description>
  <cp:lastModifiedBy>OptimizeResume</cp:lastModifiedBy>
  <cp:revision>1</cp:revision>
  <dcterms:created xsi:type="dcterms:W3CDTF">2013-12-23T23:15:00Z</dcterms:created>
  <dcterms:modified xsi:type="dcterms:W3CDTF">2013-12-23T23:15:00Z</dcterms:modified>
  <cp:category/>
</cp:coreProperties>
</file>